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83A40" w14:textId="77777777" w:rsidR="004D03DB" w:rsidRDefault="004D03DB" w:rsidP="00D65B7D">
      <w:pPr>
        <w:spacing w:after="120" w:line="360" w:lineRule="auto"/>
        <w:jc w:val="center"/>
        <w:rPr>
          <w:rFonts w:ascii="Times New Roman" w:hAnsi="Times New Roman" w:cs="Times New Roman"/>
          <w:b/>
          <w:bCs/>
          <w:sz w:val="24"/>
          <w:szCs w:val="24"/>
        </w:rPr>
      </w:pPr>
    </w:p>
    <w:p w14:paraId="1296141A" w14:textId="77777777" w:rsidR="004D03DB" w:rsidRDefault="004D03DB" w:rsidP="00D65B7D">
      <w:pPr>
        <w:spacing w:after="120" w:line="360" w:lineRule="auto"/>
        <w:jc w:val="center"/>
        <w:rPr>
          <w:rFonts w:ascii="Times New Roman" w:hAnsi="Times New Roman" w:cs="Times New Roman"/>
          <w:b/>
          <w:bCs/>
          <w:sz w:val="24"/>
          <w:szCs w:val="24"/>
        </w:rPr>
      </w:pPr>
    </w:p>
    <w:p w14:paraId="3B26EFF4" w14:textId="77777777" w:rsidR="004D03DB" w:rsidRDefault="004D03DB" w:rsidP="00D65B7D">
      <w:pPr>
        <w:spacing w:after="120" w:line="360" w:lineRule="auto"/>
        <w:jc w:val="center"/>
        <w:rPr>
          <w:rFonts w:ascii="Times New Roman" w:hAnsi="Times New Roman" w:cs="Times New Roman"/>
          <w:b/>
          <w:bCs/>
          <w:sz w:val="24"/>
          <w:szCs w:val="24"/>
        </w:rPr>
      </w:pPr>
    </w:p>
    <w:p w14:paraId="4C2DB7D5" w14:textId="28730E07" w:rsidR="00D65B7D" w:rsidRPr="00AE42DF" w:rsidRDefault="00AE42DF" w:rsidP="00D65B7D">
      <w:pPr>
        <w:spacing w:after="120" w:line="360" w:lineRule="auto"/>
        <w:jc w:val="center"/>
        <w:rPr>
          <w:rFonts w:ascii="Times New Roman" w:hAnsi="Times New Roman" w:cs="Times New Roman"/>
          <w:b/>
          <w:bCs/>
          <w:sz w:val="28"/>
          <w:szCs w:val="28"/>
        </w:rPr>
      </w:pPr>
      <w:r w:rsidRPr="00AE42DF">
        <w:rPr>
          <w:rFonts w:ascii="Times New Roman" w:hAnsi="Times New Roman" w:cs="Times New Roman"/>
          <w:b/>
          <w:bCs/>
          <w:sz w:val="28"/>
          <w:szCs w:val="28"/>
        </w:rPr>
        <w:t>EVALUATING THE EFFECTIVENESS OF GENDER EQUALITY AT ADHUNIK: ENHANCING BUSINESS OBJECTIVES THROUGH EQUALITY, DIVERSITY, AND INCLUSION (EDI) STRATEGY</w:t>
      </w:r>
    </w:p>
    <w:p w14:paraId="10F23163" w14:textId="77777777" w:rsidR="00D65B7D" w:rsidRPr="00D65B7D" w:rsidRDefault="00D65B7D" w:rsidP="00D65B7D">
      <w:pPr>
        <w:spacing w:after="120" w:line="360" w:lineRule="auto"/>
        <w:jc w:val="center"/>
        <w:rPr>
          <w:rFonts w:ascii="Times New Roman" w:hAnsi="Times New Roman" w:cs="Times New Roman"/>
          <w:b/>
          <w:bCs/>
          <w:sz w:val="24"/>
          <w:szCs w:val="24"/>
        </w:rPr>
      </w:pPr>
    </w:p>
    <w:p w14:paraId="339EAC61" w14:textId="77777777" w:rsidR="008841C0" w:rsidRDefault="008841C0" w:rsidP="00D3142A">
      <w:pPr>
        <w:spacing w:after="120" w:line="360" w:lineRule="auto"/>
        <w:jc w:val="center"/>
        <w:rPr>
          <w:rFonts w:ascii="Times New Roman" w:hAnsi="Times New Roman" w:cs="Times New Roman"/>
          <w:b/>
          <w:bCs/>
          <w:sz w:val="24"/>
          <w:szCs w:val="24"/>
        </w:rPr>
      </w:pPr>
    </w:p>
    <w:p w14:paraId="7AF44C37" w14:textId="77777777" w:rsidR="008841C0" w:rsidRDefault="008841C0" w:rsidP="00D3142A">
      <w:pPr>
        <w:spacing w:after="120" w:line="360" w:lineRule="auto"/>
        <w:jc w:val="center"/>
        <w:rPr>
          <w:rFonts w:ascii="Times New Roman" w:hAnsi="Times New Roman" w:cs="Times New Roman"/>
          <w:b/>
          <w:bCs/>
          <w:sz w:val="24"/>
          <w:szCs w:val="24"/>
        </w:rPr>
      </w:pPr>
    </w:p>
    <w:p w14:paraId="010A24B3" w14:textId="77777777" w:rsidR="008841C0" w:rsidRDefault="008841C0" w:rsidP="00D3142A">
      <w:pPr>
        <w:spacing w:after="120" w:line="360" w:lineRule="auto"/>
        <w:jc w:val="center"/>
        <w:rPr>
          <w:rFonts w:ascii="Times New Roman" w:hAnsi="Times New Roman" w:cs="Times New Roman"/>
          <w:b/>
          <w:bCs/>
          <w:sz w:val="24"/>
          <w:szCs w:val="24"/>
        </w:rPr>
      </w:pPr>
    </w:p>
    <w:p w14:paraId="20A718B4" w14:textId="77777777" w:rsidR="004140E7" w:rsidRPr="00AE42DF" w:rsidRDefault="004140E7" w:rsidP="00AE42DF">
      <w:pPr>
        <w:spacing w:after="120" w:line="360" w:lineRule="auto"/>
        <w:rPr>
          <w:rFonts w:ascii="Times New Roman" w:hAnsi="Times New Roman" w:cs="Times New Roman"/>
          <w:b/>
          <w:bCs/>
          <w:sz w:val="24"/>
          <w:szCs w:val="24"/>
          <w:lang w:val="en-US"/>
        </w:rPr>
        <w:sectPr w:rsidR="004140E7" w:rsidRPr="00AE42DF" w:rsidSect="002456B2">
          <w:footerReference w:type="default" r:id="rId6"/>
          <w:pgSz w:w="11906" w:h="16838"/>
          <w:pgMar w:top="1440" w:right="1440" w:bottom="1440" w:left="1440" w:header="708" w:footer="708" w:gutter="0"/>
          <w:pgNumType w:fmt="lowerRoman" w:start="1"/>
          <w:cols w:space="708"/>
          <w:docGrid w:linePitch="360"/>
        </w:sectPr>
      </w:pPr>
    </w:p>
    <w:p w14:paraId="4BC70E3B" w14:textId="7682351F" w:rsidR="005E3411" w:rsidRPr="005E3411" w:rsidRDefault="005E3411" w:rsidP="00CD322C">
      <w:pPr>
        <w:spacing w:after="120" w:line="360" w:lineRule="auto"/>
        <w:rPr>
          <w:rFonts w:ascii="Times New Roman" w:hAnsi="Times New Roman" w:cs="Times New Roman"/>
          <w:b/>
          <w:bCs/>
          <w:sz w:val="24"/>
          <w:szCs w:val="24"/>
        </w:rPr>
      </w:pPr>
      <w:r w:rsidRPr="005E3411">
        <w:rPr>
          <w:rFonts w:ascii="Times New Roman" w:hAnsi="Times New Roman" w:cs="Times New Roman"/>
          <w:b/>
          <w:bCs/>
          <w:sz w:val="24"/>
          <w:szCs w:val="24"/>
        </w:rPr>
        <w:lastRenderedPageBreak/>
        <w:t>Introduction</w:t>
      </w:r>
    </w:p>
    <w:p w14:paraId="2F547D94" w14:textId="11894544" w:rsidR="005E3411" w:rsidRDefault="00FC1AA7" w:rsidP="00CD322C">
      <w:pPr>
        <w:spacing w:after="120" w:line="360" w:lineRule="auto"/>
        <w:rPr>
          <w:rFonts w:ascii="Times New Roman" w:hAnsi="Times New Roman" w:cs="Times New Roman"/>
          <w:sz w:val="24"/>
          <w:szCs w:val="24"/>
        </w:rPr>
      </w:pPr>
      <w:r w:rsidRPr="00FC1AA7">
        <w:rPr>
          <w:rFonts w:ascii="Times New Roman" w:hAnsi="Times New Roman" w:cs="Times New Roman"/>
          <w:sz w:val="24"/>
          <w:szCs w:val="24"/>
        </w:rPr>
        <w:t>Analysing Adhunik's approach to gender equality reveals that the organisation faces challenges in establishing a diverse and inclusive workplace. The case study discusses a variety of concerns, including biassed recruitment processes, a lack of diversity in leadership roles, and unequal reimbursement and awards. These difficulties not only damage employee morale and engagement, but also endanger the company's capacity to hire and keep outstanding employees</w:t>
      </w:r>
      <w:r w:rsidR="00FB47F8" w:rsidRPr="00FB47F8">
        <w:t xml:space="preserve"> </w:t>
      </w:r>
      <w:r w:rsidR="00FB47F8" w:rsidRPr="00FB47F8">
        <w:rPr>
          <w:rFonts w:ascii="Times New Roman" w:hAnsi="Times New Roman" w:cs="Times New Roman"/>
          <w:sz w:val="24"/>
          <w:szCs w:val="24"/>
        </w:rPr>
        <w:t>(Ryan, 2022)</w:t>
      </w:r>
      <w:r w:rsidRPr="00FC1AA7">
        <w:rPr>
          <w:rFonts w:ascii="Times New Roman" w:hAnsi="Times New Roman" w:cs="Times New Roman"/>
          <w:sz w:val="24"/>
          <w:szCs w:val="24"/>
        </w:rPr>
        <w:t>.</w:t>
      </w:r>
      <w:r w:rsidR="005E3411" w:rsidRPr="005E3411">
        <w:rPr>
          <w:rFonts w:ascii="Times New Roman" w:hAnsi="Times New Roman" w:cs="Times New Roman"/>
          <w:sz w:val="24"/>
          <w:szCs w:val="24"/>
        </w:rPr>
        <w:t xml:space="preserve"> To address these issues, this essay will explore th</w:t>
      </w:r>
      <w:r w:rsidR="006C29C8">
        <w:rPr>
          <w:rFonts w:ascii="Times New Roman" w:hAnsi="Times New Roman" w:cs="Times New Roman"/>
          <w:sz w:val="24"/>
          <w:szCs w:val="24"/>
        </w:rPr>
        <w:t>e</w:t>
      </w:r>
      <w:r w:rsidR="005E3411" w:rsidRPr="005E3411">
        <w:rPr>
          <w:rFonts w:ascii="Times New Roman" w:hAnsi="Times New Roman" w:cs="Times New Roman"/>
          <w:sz w:val="24"/>
          <w:szCs w:val="24"/>
        </w:rPr>
        <w:t xml:space="preserve"> effectiveness of Adhunik's current approach to gender equality and discuss how further developing an </w:t>
      </w:r>
      <w:bookmarkStart w:id="0" w:name="_Hlk164327943"/>
      <w:r w:rsidR="005E3411" w:rsidRPr="005E3411">
        <w:rPr>
          <w:rFonts w:ascii="Times New Roman" w:hAnsi="Times New Roman" w:cs="Times New Roman"/>
          <w:sz w:val="24"/>
          <w:szCs w:val="24"/>
        </w:rPr>
        <w:t>Equality, Diversity, and Inclusion (EDI) strategy</w:t>
      </w:r>
      <w:bookmarkEnd w:id="0"/>
      <w:r w:rsidR="005E3411" w:rsidRPr="005E3411">
        <w:rPr>
          <w:rFonts w:ascii="Times New Roman" w:hAnsi="Times New Roman" w:cs="Times New Roman"/>
          <w:sz w:val="24"/>
          <w:szCs w:val="24"/>
        </w:rPr>
        <w:t xml:space="preserve"> could help the organization achieve its business objectives.</w:t>
      </w:r>
    </w:p>
    <w:p w14:paraId="66547E14" w14:textId="79BC020A" w:rsidR="00CD322C" w:rsidRPr="00CD322C" w:rsidRDefault="00CD322C" w:rsidP="00CD322C">
      <w:pPr>
        <w:spacing w:after="120" w:line="360" w:lineRule="auto"/>
        <w:rPr>
          <w:rFonts w:ascii="Times New Roman" w:hAnsi="Times New Roman" w:cs="Times New Roman"/>
          <w:b/>
          <w:bCs/>
          <w:sz w:val="24"/>
          <w:szCs w:val="24"/>
        </w:rPr>
      </w:pPr>
      <w:r w:rsidRPr="00CD322C">
        <w:rPr>
          <w:rFonts w:ascii="Times New Roman" w:hAnsi="Times New Roman" w:cs="Times New Roman"/>
          <w:b/>
          <w:bCs/>
          <w:sz w:val="24"/>
          <w:szCs w:val="24"/>
        </w:rPr>
        <w:t>Current Gender Equality Issues at Adhunik</w:t>
      </w:r>
    </w:p>
    <w:p w14:paraId="64A20A22" w14:textId="7D3E820B" w:rsidR="00CD322C" w:rsidRPr="00CD322C" w:rsidRDefault="00ED5648" w:rsidP="00CD322C">
      <w:pPr>
        <w:spacing w:after="120" w:line="360" w:lineRule="auto"/>
        <w:rPr>
          <w:rFonts w:ascii="Times New Roman" w:hAnsi="Times New Roman" w:cs="Times New Roman"/>
          <w:sz w:val="24"/>
          <w:szCs w:val="24"/>
        </w:rPr>
      </w:pPr>
      <w:r w:rsidRPr="00ED5648">
        <w:rPr>
          <w:rFonts w:ascii="Times New Roman" w:hAnsi="Times New Roman" w:cs="Times New Roman"/>
          <w:sz w:val="24"/>
          <w:szCs w:val="24"/>
        </w:rPr>
        <w:t>Adhunik's present approach to gender equality highlights several critical difficulties that limit the organization's capacity to foster a diverse and inclusive workplace. First, the recruitment and selection process appear to favour men, as indicated by the high proportion of male applicants in job postings and interviews. This approach not only promotes gender biases, but it additionally restricts the organization's talent poo</w:t>
      </w:r>
      <w:r w:rsidR="00D56465">
        <w:rPr>
          <w:rFonts w:ascii="Times New Roman" w:hAnsi="Times New Roman" w:cs="Times New Roman"/>
          <w:sz w:val="24"/>
          <w:szCs w:val="24"/>
        </w:rPr>
        <w:t>l</w:t>
      </w:r>
      <w:r w:rsidR="00D56465" w:rsidRPr="00D56465">
        <w:t xml:space="preserve"> </w:t>
      </w:r>
      <w:r w:rsidR="00D56465" w:rsidRPr="00D56465">
        <w:rPr>
          <w:rFonts w:ascii="Times New Roman" w:hAnsi="Times New Roman" w:cs="Times New Roman"/>
          <w:sz w:val="24"/>
          <w:szCs w:val="24"/>
        </w:rPr>
        <w:t>(Stamarski and Son Hing, 2015)</w:t>
      </w:r>
      <w:r w:rsidRPr="00ED5648">
        <w:rPr>
          <w:rFonts w:ascii="Times New Roman" w:hAnsi="Times New Roman" w:cs="Times New Roman"/>
          <w:sz w:val="24"/>
          <w:szCs w:val="24"/>
        </w:rPr>
        <w:t>. Second, there is a significant lack of diversity in managerial positions at Adhunik, with Dilraj selecting older males from identical cultural backgrounds.</w:t>
      </w:r>
      <w:r w:rsidR="00CD322C" w:rsidRPr="00CD322C">
        <w:rPr>
          <w:rFonts w:ascii="Times New Roman" w:hAnsi="Times New Roman" w:cs="Times New Roman"/>
          <w:sz w:val="24"/>
          <w:szCs w:val="24"/>
        </w:rPr>
        <w:t xml:space="preserve"> </w:t>
      </w:r>
      <w:r w:rsidRPr="00ED5648">
        <w:rPr>
          <w:rFonts w:ascii="Times New Roman" w:hAnsi="Times New Roman" w:cs="Times New Roman"/>
          <w:sz w:val="24"/>
          <w:szCs w:val="24"/>
        </w:rPr>
        <w:t>This bias towards a specific demographic group limits possibilities for women and people of various backgrounds to rise into leadership roles, resulting to an absence of representation at the decision-making level</w:t>
      </w:r>
      <w:r w:rsidR="00D56465" w:rsidRPr="00D56465">
        <w:t xml:space="preserve"> </w:t>
      </w:r>
      <w:r w:rsidR="00D56465" w:rsidRPr="00D56465">
        <w:rPr>
          <w:rFonts w:ascii="Times New Roman" w:hAnsi="Times New Roman" w:cs="Times New Roman"/>
          <w:sz w:val="24"/>
          <w:szCs w:val="24"/>
        </w:rPr>
        <w:t>(Verniers and Vala, 2018)</w:t>
      </w:r>
      <w:r w:rsidRPr="00ED5648">
        <w:rPr>
          <w:rFonts w:ascii="Times New Roman" w:hAnsi="Times New Roman" w:cs="Times New Roman"/>
          <w:sz w:val="24"/>
          <w:szCs w:val="24"/>
        </w:rPr>
        <w:t>.</w:t>
      </w:r>
    </w:p>
    <w:p w14:paraId="3CDA1C81" w14:textId="3A20A96C" w:rsidR="00CD322C" w:rsidRPr="00CD322C" w:rsidRDefault="0045377C" w:rsidP="00CD322C">
      <w:pPr>
        <w:spacing w:after="120" w:line="360" w:lineRule="auto"/>
        <w:rPr>
          <w:rFonts w:ascii="Times New Roman" w:hAnsi="Times New Roman" w:cs="Times New Roman"/>
          <w:sz w:val="24"/>
          <w:szCs w:val="24"/>
        </w:rPr>
      </w:pPr>
      <w:r w:rsidRPr="0045377C">
        <w:rPr>
          <w:rFonts w:ascii="Times New Roman" w:hAnsi="Times New Roman" w:cs="Times New Roman"/>
          <w:sz w:val="24"/>
          <w:szCs w:val="24"/>
        </w:rPr>
        <w:t>Furthermore, women's underrepresentation in important decision-making roles, including employee recruitment and selection, promotes gender stereotypes. The absence of diversity in decision-making can result in a restricted range of concepts and approaches, thus limiting the company's capacity to innovate and adapt to evolving marketplace conditions</w:t>
      </w:r>
      <w:r w:rsidR="00930F67" w:rsidRPr="00930F67">
        <w:t xml:space="preserve"> </w:t>
      </w:r>
      <w:r w:rsidR="00930F67" w:rsidRPr="00930F67">
        <w:rPr>
          <w:rFonts w:ascii="Times New Roman" w:hAnsi="Times New Roman" w:cs="Times New Roman"/>
          <w:sz w:val="24"/>
          <w:szCs w:val="24"/>
        </w:rPr>
        <w:t>(Son Hing et al., 2023)</w:t>
      </w:r>
      <w:r w:rsidRPr="0045377C">
        <w:rPr>
          <w:rFonts w:ascii="Times New Roman" w:hAnsi="Times New Roman" w:cs="Times New Roman"/>
          <w:sz w:val="24"/>
          <w:szCs w:val="24"/>
        </w:rPr>
        <w:t>.</w:t>
      </w:r>
      <w:r w:rsidR="00DB62FF">
        <w:rPr>
          <w:rFonts w:ascii="Times New Roman" w:hAnsi="Times New Roman" w:cs="Times New Roman"/>
          <w:sz w:val="24"/>
          <w:szCs w:val="24"/>
        </w:rPr>
        <w:t xml:space="preserve"> Additionally</w:t>
      </w:r>
      <w:r w:rsidR="004B3903" w:rsidRPr="004B3903">
        <w:rPr>
          <w:rFonts w:ascii="Times New Roman" w:hAnsi="Times New Roman" w:cs="Times New Roman"/>
          <w:sz w:val="24"/>
          <w:szCs w:val="24"/>
        </w:rPr>
        <w:t>, potential compensation and reward inequalities exist at Adhunik, as seen by the differential treatment of managers recruited from outside the family against those recruited internally. This variation in treatment based on the source of recruiting affects workplace justice and equity, giving employees a sense of favouritism and inequity</w:t>
      </w:r>
      <w:r w:rsidR="00930F67" w:rsidRPr="00930F67">
        <w:t xml:space="preserve"> </w:t>
      </w:r>
      <w:r w:rsidR="00930F67" w:rsidRPr="00930F67">
        <w:rPr>
          <w:rFonts w:ascii="Times New Roman" w:hAnsi="Times New Roman" w:cs="Times New Roman"/>
          <w:sz w:val="24"/>
          <w:szCs w:val="24"/>
        </w:rPr>
        <w:t>(Foley and Cooper, 2021)</w:t>
      </w:r>
      <w:r w:rsidR="00C03AAC">
        <w:rPr>
          <w:rFonts w:ascii="Times New Roman" w:hAnsi="Times New Roman" w:cs="Times New Roman"/>
          <w:sz w:val="24"/>
          <w:szCs w:val="24"/>
        </w:rPr>
        <w:t>.</w:t>
      </w:r>
    </w:p>
    <w:p w14:paraId="4EC0C07E" w14:textId="62509A3B" w:rsidR="00CD322C" w:rsidRDefault="004B3903" w:rsidP="00CD322C">
      <w:pPr>
        <w:spacing w:after="120" w:line="360" w:lineRule="auto"/>
        <w:rPr>
          <w:rFonts w:ascii="Times New Roman" w:hAnsi="Times New Roman" w:cs="Times New Roman"/>
          <w:sz w:val="24"/>
          <w:szCs w:val="24"/>
        </w:rPr>
      </w:pPr>
      <w:r w:rsidRPr="004B3903">
        <w:rPr>
          <w:rFonts w:ascii="Times New Roman" w:hAnsi="Times New Roman" w:cs="Times New Roman"/>
          <w:sz w:val="24"/>
          <w:szCs w:val="24"/>
        </w:rPr>
        <w:t>To overcome these concerns, Adhunik must take proactive initiatives that encourage gender equality and diversity among its employees. This could involve developing unbiased recruitment and selection methods, offering equitable opportunities for promotion, and assuring fair and transparent compensation and reward systems</w:t>
      </w:r>
      <w:r w:rsidR="00EF0655" w:rsidRPr="00EF0655">
        <w:t xml:space="preserve"> </w:t>
      </w:r>
      <w:r w:rsidR="00EF0655" w:rsidRPr="00EF0655">
        <w:rPr>
          <w:rFonts w:ascii="Times New Roman" w:hAnsi="Times New Roman" w:cs="Times New Roman"/>
          <w:sz w:val="24"/>
          <w:szCs w:val="24"/>
        </w:rPr>
        <w:t>(Kalev and Deutsch, 2018)</w:t>
      </w:r>
      <w:r w:rsidRPr="004B3903">
        <w:rPr>
          <w:rFonts w:ascii="Times New Roman" w:hAnsi="Times New Roman" w:cs="Times New Roman"/>
          <w:sz w:val="24"/>
          <w:szCs w:val="24"/>
        </w:rPr>
        <w:t>.</w:t>
      </w:r>
      <w:r w:rsidR="00CD322C" w:rsidRPr="00CD322C">
        <w:rPr>
          <w:rFonts w:ascii="Times New Roman" w:hAnsi="Times New Roman" w:cs="Times New Roman"/>
          <w:sz w:val="24"/>
          <w:szCs w:val="24"/>
        </w:rPr>
        <w:t xml:space="preserve"> </w:t>
      </w:r>
    </w:p>
    <w:p w14:paraId="5FA9FEDC" w14:textId="7C21F739" w:rsidR="00D11255" w:rsidRDefault="00D11255" w:rsidP="00241B4F">
      <w:pPr>
        <w:spacing w:after="120" w:line="360" w:lineRule="auto"/>
        <w:rPr>
          <w:rFonts w:ascii="Times New Roman" w:hAnsi="Times New Roman" w:cs="Times New Roman"/>
          <w:b/>
          <w:bCs/>
          <w:sz w:val="24"/>
          <w:szCs w:val="24"/>
        </w:rPr>
      </w:pPr>
      <w:r w:rsidRPr="00D11255">
        <w:rPr>
          <w:rFonts w:ascii="Times New Roman" w:hAnsi="Times New Roman" w:cs="Times New Roman"/>
          <w:b/>
          <w:bCs/>
          <w:sz w:val="24"/>
          <w:szCs w:val="24"/>
        </w:rPr>
        <w:t>How Developing an EDI Strategy Could Help</w:t>
      </w:r>
      <w:r>
        <w:rPr>
          <w:rFonts w:ascii="Times New Roman" w:hAnsi="Times New Roman" w:cs="Times New Roman"/>
          <w:b/>
          <w:bCs/>
          <w:sz w:val="24"/>
          <w:szCs w:val="24"/>
        </w:rPr>
        <w:t xml:space="preserve"> </w:t>
      </w:r>
      <w:r w:rsidRPr="00D11255">
        <w:rPr>
          <w:rFonts w:ascii="Times New Roman" w:hAnsi="Times New Roman" w:cs="Times New Roman"/>
          <w:b/>
          <w:bCs/>
          <w:sz w:val="24"/>
          <w:szCs w:val="24"/>
        </w:rPr>
        <w:t>Adhunik</w:t>
      </w:r>
      <w:r>
        <w:rPr>
          <w:rFonts w:ascii="Times New Roman" w:hAnsi="Times New Roman" w:cs="Times New Roman"/>
          <w:b/>
          <w:bCs/>
          <w:sz w:val="24"/>
          <w:szCs w:val="24"/>
        </w:rPr>
        <w:t xml:space="preserve"> </w:t>
      </w:r>
      <w:r w:rsidR="00C16194">
        <w:rPr>
          <w:rFonts w:ascii="Times New Roman" w:hAnsi="Times New Roman" w:cs="Times New Roman"/>
          <w:b/>
          <w:bCs/>
          <w:sz w:val="24"/>
          <w:szCs w:val="24"/>
        </w:rPr>
        <w:t>Company</w:t>
      </w:r>
    </w:p>
    <w:p w14:paraId="71F1A7C3" w14:textId="50CACE71" w:rsidR="00241B4F" w:rsidRPr="00241B4F" w:rsidRDefault="000A02BA" w:rsidP="00241B4F">
      <w:pPr>
        <w:spacing w:after="120" w:line="360" w:lineRule="auto"/>
        <w:rPr>
          <w:rFonts w:ascii="Times New Roman" w:hAnsi="Times New Roman" w:cs="Times New Roman"/>
          <w:sz w:val="24"/>
          <w:szCs w:val="24"/>
        </w:rPr>
      </w:pPr>
      <w:r w:rsidRPr="000A02BA">
        <w:rPr>
          <w:rFonts w:ascii="Times New Roman" w:hAnsi="Times New Roman" w:cs="Times New Roman"/>
          <w:sz w:val="24"/>
          <w:szCs w:val="24"/>
        </w:rPr>
        <w:t xml:space="preserve">Developing an EDI plan provides Adhunik with a strategic opportunity to tackle gender equality challenges while also integrating with its business objectives. By developing defined goals and targets for gender equality and diversity, Adhunik can take an active role to building a more diverse work environment, which can boost employee commitment and organizational success </w:t>
      </w:r>
      <w:r w:rsidR="008E3105" w:rsidRPr="008E3105">
        <w:rPr>
          <w:rFonts w:ascii="Times New Roman" w:hAnsi="Times New Roman" w:cs="Times New Roman"/>
          <w:sz w:val="24"/>
          <w:szCs w:val="24"/>
        </w:rPr>
        <w:t>(Garg and Sangwan, 2020)</w:t>
      </w:r>
      <w:r w:rsidRPr="000A02BA">
        <w:rPr>
          <w:rFonts w:ascii="Times New Roman" w:hAnsi="Times New Roman" w:cs="Times New Roman"/>
          <w:sz w:val="24"/>
          <w:szCs w:val="24"/>
        </w:rPr>
        <w:t>.</w:t>
      </w:r>
      <w:r w:rsidR="00D11255">
        <w:rPr>
          <w:rFonts w:ascii="Times New Roman" w:hAnsi="Times New Roman" w:cs="Times New Roman"/>
          <w:sz w:val="24"/>
          <w:szCs w:val="24"/>
        </w:rPr>
        <w:t xml:space="preserve"> </w:t>
      </w:r>
      <w:r w:rsidR="00710A65" w:rsidRPr="00710A65">
        <w:rPr>
          <w:rFonts w:ascii="Times New Roman" w:hAnsi="Times New Roman" w:cs="Times New Roman"/>
          <w:sz w:val="24"/>
          <w:szCs w:val="24"/>
        </w:rPr>
        <w:t xml:space="preserve">Regular monitoring and evaluation of gender equality measures is critical not just for evaluating progress, but also for cultivating a culture of responsibility and continuous improvement </w:t>
      </w:r>
      <w:r w:rsidR="00633C92" w:rsidRPr="00633C92">
        <w:rPr>
          <w:rFonts w:ascii="Times New Roman" w:hAnsi="Times New Roman" w:cs="Times New Roman"/>
          <w:sz w:val="24"/>
          <w:szCs w:val="24"/>
        </w:rPr>
        <w:t>(Ciuk, Śliwa and Harzing, 2022)</w:t>
      </w:r>
      <w:r w:rsidR="00710A65" w:rsidRPr="00710A65">
        <w:rPr>
          <w:rFonts w:ascii="Times New Roman" w:hAnsi="Times New Roman" w:cs="Times New Roman"/>
          <w:sz w:val="24"/>
          <w:szCs w:val="24"/>
        </w:rPr>
        <w:t>. This data-driven approach helps Adhunik determine areas of strength and areas for improvement, which enables focused interventions that are aligned with the company's strategic aims.</w:t>
      </w:r>
    </w:p>
    <w:p w14:paraId="533F3824" w14:textId="0778B9BB" w:rsidR="00241B4F" w:rsidRDefault="000D0AEC" w:rsidP="00241B4F">
      <w:pPr>
        <w:spacing w:after="120" w:line="360" w:lineRule="auto"/>
        <w:rPr>
          <w:rFonts w:ascii="Times New Roman" w:hAnsi="Times New Roman" w:cs="Times New Roman"/>
          <w:sz w:val="24"/>
          <w:szCs w:val="24"/>
        </w:rPr>
      </w:pPr>
      <w:r w:rsidRPr="000D0AEC">
        <w:rPr>
          <w:rFonts w:ascii="Times New Roman" w:hAnsi="Times New Roman" w:cs="Times New Roman"/>
          <w:sz w:val="24"/>
          <w:szCs w:val="24"/>
        </w:rPr>
        <w:t xml:space="preserve">Training and development program help to promote diversity and inclusion by providing personnel with the knowledge and skills needed to overcome biases and create a more inclusive environment </w:t>
      </w:r>
      <w:r w:rsidR="001011F9" w:rsidRPr="001011F9">
        <w:rPr>
          <w:rFonts w:ascii="Times New Roman" w:hAnsi="Times New Roman" w:cs="Times New Roman"/>
          <w:sz w:val="24"/>
          <w:szCs w:val="24"/>
        </w:rPr>
        <w:t>(Lignou, Sheehan and Singh, 2024)</w:t>
      </w:r>
      <w:r w:rsidRPr="000D0AEC">
        <w:rPr>
          <w:rFonts w:ascii="Times New Roman" w:hAnsi="Times New Roman" w:cs="Times New Roman"/>
          <w:sz w:val="24"/>
          <w:szCs w:val="24"/>
        </w:rPr>
        <w:t xml:space="preserve">. Adhunik can create a more diverse talent pipeline, increase employee engagement, and promote innovation by investing in </w:t>
      </w:r>
      <w:r w:rsidR="007C3788" w:rsidRPr="000D0AEC">
        <w:rPr>
          <w:rFonts w:ascii="Times New Roman" w:hAnsi="Times New Roman" w:cs="Times New Roman"/>
          <w:sz w:val="24"/>
          <w:szCs w:val="24"/>
        </w:rPr>
        <w:t>these programs (Pedulla, 2022)</w:t>
      </w:r>
      <w:r w:rsidRPr="000D0AEC">
        <w:rPr>
          <w:rFonts w:ascii="Times New Roman" w:hAnsi="Times New Roman" w:cs="Times New Roman"/>
          <w:sz w:val="24"/>
          <w:szCs w:val="24"/>
        </w:rPr>
        <w:t xml:space="preserve">. Policies and procedures that encourage diversity and inclusion, including unbiased recruiting and selection procedures and equal compensation for equal labour, have both ethical and strategic significance </w:t>
      </w:r>
      <w:r w:rsidR="007C3788" w:rsidRPr="007C3788">
        <w:rPr>
          <w:rFonts w:ascii="Times New Roman" w:hAnsi="Times New Roman" w:cs="Times New Roman"/>
          <w:sz w:val="24"/>
          <w:szCs w:val="24"/>
        </w:rPr>
        <w:t>(Özbilgin and Erbil, 2023)</w:t>
      </w:r>
      <w:r w:rsidRPr="000D0AEC">
        <w:rPr>
          <w:rFonts w:ascii="Times New Roman" w:hAnsi="Times New Roman" w:cs="Times New Roman"/>
          <w:sz w:val="24"/>
          <w:szCs w:val="24"/>
        </w:rPr>
        <w:t xml:space="preserve">. Implementing these rules can help Adhunik improve its image as an employer, recruit and keep top personnel, and gain a competitive advantage in the marketplace </w:t>
      </w:r>
      <w:r w:rsidR="007C3788" w:rsidRPr="007C3788">
        <w:rPr>
          <w:rFonts w:ascii="Times New Roman" w:hAnsi="Times New Roman" w:cs="Times New Roman"/>
          <w:sz w:val="24"/>
          <w:szCs w:val="24"/>
        </w:rPr>
        <w:t>(Dewidar, Elmestekawy and Welch, 2022)</w:t>
      </w:r>
      <w:r w:rsidRPr="000D0AEC">
        <w:rPr>
          <w:rFonts w:ascii="Times New Roman" w:hAnsi="Times New Roman" w:cs="Times New Roman"/>
          <w:sz w:val="24"/>
          <w:szCs w:val="24"/>
        </w:rPr>
        <w:t>.</w:t>
      </w:r>
    </w:p>
    <w:p w14:paraId="172992B1" w14:textId="4FD8D09A" w:rsidR="005F78CF" w:rsidRPr="005F78CF" w:rsidRDefault="005F78CF" w:rsidP="005F78CF">
      <w:pPr>
        <w:spacing w:after="120" w:line="360" w:lineRule="auto"/>
        <w:rPr>
          <w:rFonts w:ascii="Times New Roman" w:hAnsi="Times New Roman" w:cs="Times New Roman"/>
          <w:b/>
          <w:bCs/>
          <w:sz w:val="24"/>
          <w:szCs w:val="24"/>
        </w:rPr>
      </w:pPr>
      <w:r w:rsidRPr="005F78CF">
        <w:rPr>
          <w:rFonts w:ascii="Times New Roman" w:hAnsi="Times New Roman" w:cs="Times New Roman"/>
          <w:b/>
          <w:bCs/>
          <w:sz w:val="24"/>
          <w:szCs w:val="24"/>
        </w:rPr>
        <w:t>Benefits of an Effe</w:t>
      </w:r>
      <w:r w:rsidR="00914248">
        <w:rPr>
          <w:rFonts w:ascii="Times New Roman" w:hAnsi="Times New Roman" w:cs="Times New Roman"/>
          <w:b/>
          <w:bCs/>
          <w:sz w:val="24"/>
          <w:szCs w:val="24"/>
        </w:rPr>
        <w:t>c</w:t>
      </w:r>
      <w:r w:rsidRPr="005F78CF">
        <w:rPr>
          <w:rFonts w:ascii="Times New Roman" w:hAnsi="Times New Roman" w:cs="Times New Roman"/>
          <w:b/>
          <w:bCs/>
          <w:sz w:val="24"/>
          <w:szCs w:val="24"/>
        </w:rPr>
        <w:t xml:space="preserve">tive EDI Strategy </w:t>
      </w:r>
    </w:p>
    <w:p w14:paraId="5DF43B14" w14:textId="47EFA674" w:rsidR="005F78CF" w:rsidRPr="005F78CF" w:rsidRDefault="008F0868" w:rsidP="005F78CF">
      <w:pPr>
        <w:spacing w:after="120" w:line="360" w:lineRule="auto"/>
        <w:rPr>
          <w:rFonts w:ascii="Times New Roman" w:hAnsi="Times New Roman" w:cs="Times New Roman"/>
          <w:sz w:val="24"/>
          <w:szCs w:val="24"/>
        </w:rPr>
      </w:pPr>
      <w:r w:rsidRPr="008F0868">
        <w:rPr>
          <w:rFonts w:ascii="Times New Roman" w:hAnsi="Times New Roman" w:cs="Times New Roman"/>
          <w:sz w:val="24"/>
          <w:szCs w:val="24"/>
        </w:rPr>
        <w:t xml:space="preserve">An effective Equality, Diversity, and Inclusion (EDI) plan can provide various benefits to Adhunik, including alignment with corporate objectives and improved overall performance. An effective EDI approach improves staff morale and engagement, which leads to increased productivity and retention levels </w:t>
      </w:r>
      <w:r w:rsidR="00FA0A95" w:rsidRPr="00FA0A95">
        <w:rPr>
          <w:rFonts w:ascii="Times New Roman" w:hAnsi="Times New Roman" w:cs="Times New Roman"/>
          <w:sz w:val="24"/>
          <w:szCs w:val="24"/>
        </w:rPr>
        <w:t>(Siri, Leone and Bencivenga, 2022)</w:t>
      </w:r>
      <w:r w:rsidRPr="008F0868">
        <w:rPr>
          <w:rFonts w:ascii="Times New Roman" w:hAnsi="Times New Roman" w:cs="Times New Roman"/>
          <w:sz w:val="24"/>
          <w:szCs w:val="24"/>
        </w:rPr>
        <w:t>.</w:t>
      </w:r>
      <w:r w:rsidR="005F78CF" w:rsidRPr="005F78CF">
        <w:rPr>
          <w:rFonts w:ascii="Times New Roman" w:hAnsi="Times New Roman" w:cs="Times New Roman"/>
          <w:sz w:val="24"/>
          <w:szCs w:val="24"/>
        </w:rPr>
        <w:t xml:space="preserve"> By fostering a more inclusive work environment, Adhunik can create a sense of belonging among its employees, which can positively impact their motivation and commitment to the organization </w:t>
      </w:r>
      <w:r w:rsidR="00BF32B0" w:rsidRPr="00BF32B0">
        <w:rPr>
          <w:rFonts w:ascii="Times New Roman" w:hAnsi="Times New Roman" w:cs="Times New Roman"/>
          <w:sz w:val="24"/>
          <w:szCs w:val="24"/>
        </w:rPr>
        <w:t>(Siri, Leone and Bencivenga, 2022)</w:t>
      </w:r>
      <w:r w:rsidR="005F78CF" w:rsidRPr="005F78CF">
        <w:rPr>
          <w:rFonts w:ascii="Times New Roman" w:hAnsi="Times New Roman" w:cs="Times New Roman"/>
          <w:sz w:val="24"/>
          <w:szCs w:val="24"/>
        </w:rPr>
        <w:t>.</w:t>
      </w:r>
    </w:p>
    <w:p w14:paraId="632C078C" w14:textId="75D01ACC" w:rsidR="005F78CF" w:rsidRPr="005F78CF" w:rsidRDefault="00B169AE" w:rsidP="005F78CF">
      <w:pPr>
        <w:spacing w:after="120" w:line="360" w:lineRule="auto"/>
        <w:rPr>
          <w:rFonts w:ascii="Times New Roman" w:hAnsi="Times New Roman" w:cs="Times New Roman"/>
          <w:sz w:val="24"/>
          <w:szCs w:val="24"/>
        </w:rPr>
      </w:pPr>
      <w:r w:rsidRPr="00B169AE">
        <w:rPr>
          <w:rFonts w:ascii="Times New Roman" w:hAnsi="Times New Roman" w:cs="Times New Roman"/>
          <w:sz w:val="24"/>
          <w:szCs w:val="24"/>
        </w:rPr>
        <w:t xml:space="preserve">Additionally, an EDI approach can help Adhunik build a reputation as an outstanding employer, attracting a wide labour pool </w:t>
      </w:r>
      <w:r w:rsidR="00BF32B0" w:rsidRPr="00BF32B0">
        <w:rPr>
          <w:rFonts w:ascii="Times New Roman" w:hAnsi="Times New Roman" w:cs="Times New Roman"/>
          <w:sz w:val="24"/>
          <w:szCs w:val="24"/>
        </w:rPr>
        <w:t>(Corsino and Fuller, 2021)</w:t>
      </w:r>
      <w:r w:rsidRPr="00B169AE">
        <w:rPr>
          <w:rFonts w:ascii="Times New Roman" w:hAnsi="Times New Roman" w:cs="Times New Roman"/>
          <w:sz w:val="24"/>
          <w:szCs w:val="24"/>
        </w:rPr>
        <w:t xml:space="preserve">. Diverse teams are acknowledged for making better decisions and driving innovation because they bring a wide range of viewpoints and ideas to the table </w:t>
      </w:r>
      <w:r w:rsidR="001D6BF0" w:rsidRPr="001D6BF0">
        <w:rPr>
          <w:rFonts w:ascii="Times New Roman" w:hAnsi="Times New Roman" w:cs="Times New Roman"/>
          <w:sz w:val="24"/>
          <w:szCs w:val="24"/>
        </w:rPr>
        <w:t>(Dewidar, Elmestekawy and Welch, 2022)</w:t>
      </w:r>
      <w:r w:rsidRPr="00B169AE">
        <w:rPr>
          <w:rFonts w:ascii="Times New Roman" w:hAnsi="Times New Roman" w:cs="Times New Roman"/>
          <w:sz w:val="24"/>
          <w:szCs w:val="24"/>
        </w:rPr>
        <w:t xml:space="preserve">. This can be especially useful for Adhunik as it enters new global markets where different viewpoints could give a competitive edge </w:t>
      </w:r>
      <w:r w:rsidR="003C08D2" w:rsidRPr="003C08D2">
        <w:rPr>
          <w:rFonts w:ascii="Times New Roman" w:hAnsi="Times New Roman" w:cs="Times New Roman"/>
          <w:sz w:val="24"/>
          <w:szCs w:val="24"/>
        </w:rPr>
        <w:t>(Patrick and Kumar, 2012)</w:t>
      </w:r>
      <w:r w:rsidR="008B5940">
        <w:rPr>
          <w:rFonts w:ascii="Times New Roman" w:hAnsi="Times New Roman" w:cs="Times New Roman"/>
          <w:sz w:val="24"/>
          <w:szCs w:val="24"/>
        </w:rPr>
        <w:t>.</w:t>
      </w:r>
    </w:p>
    <w:p w14:paraId="57626A29" w14:textId="3D77D16B" w:rsidR="005E3411" w:rsidRDefault="00B169AE" w:rsidP="00CD322C">
      <w:pPr>
        <w:spacing w:after="120" w:line="360" w:lineRule="auto"/>
        <w:rPr>
          <w:rFonts w:ascii="Times New Roman" w:hAnsi="Times New Roman" w:cs="Times New Roman"/>
          <w:sz w:val="24"/>
          <w:szCs w:val="24"/>
        </w:rPr>
      </w:pPr>
      <w:r w:rsidRPr="00B169AE">
        <w:rPr>
          <w:rFonts w:ascii="Times New Roman" w:hAnsi="Times New Roman" w:cs="Times New Roman"/>
          <w:sz w:val="24"/>
          <w:szCs w:val="24"/>
        </w:rPr>
        <w:t xml:space="preserve">Furthermore, a good EDI approach guarantees that Adhunik adheres to legal and ethical norms, fostering a fair and inclusive work environment </w:t>
      </w:r>
      <w:r w:rsidR="007C1075" w:rsidRPr="007C1075">
        <w:rPr>
          <w:rFonts w:ascii="Times New Roman" w:hAnsi="Times New Roman" w:cs="Times New Roman"/>
          <w:sz w:val="24"/>
          <w:szCs w:val="24"/>
        </w:rPr>
        <w:t>(CIPD, 2022)</w:t>
      </w:r>
      <w:r w:rsidRPr="00B169AE">
        <w:rPr>
          <w:rFonts w:ascii="Times New Roman" w:hAnsi="Times New Roman" w:cs="Times New Roman"/>
          <w:sz w:val="24"/>
          <w:szCs w:val="24"/>
        </w:rPr>
        <w:t>. This not only reduces legal concerns, but also improves the company'</w:t>
      </w:r>
      <w:r w:rsidR="00425730">
        <w:rPr>
          <w:rFonts w:ascii="Times New Roman" w:hAnsi="Times New Roman" w:cs="Times New Roman"/>
          <w:sz w:val="24"/>
          <w:szCs w:val="24"/>
        </w:rPr>
        <w:t>s</w:t>
      </w:r>
      <w:r w:rsidRPr="00B169AE">
        <w:rPr>
          <w:rFonts w:ascii="Times New Roman" w:hAnsi="Times New Roman" w:cs="Times New Roman"/>
          <w:sz w:val="24"/>
          <w:szCs w:val="24"/>
        </w:rPr>
        <w:t xml:space="preserve"> reputation and credibility with its stakeholders </w:t>
      </w:r>
      <w:r w:rsidR="00947075" w:rsidRPr="00947075">
        <w:rPr>
          <w:rFonts w:ascii="Times New Roman" w:hAnsi="Times New Roman" w:cs="Times New Roman"/>
          <w:sz w:val="24"/>
          <w:szCs w:val="24"/>
        </w:rPr>
        <w:t>(Wolbring and Nguyen, 2023)</w:t>
      </w:r>
      <w:r w:rsidRPr="00B169AE">
        <w:rPr>
          <w:rFonts w:ascii="Times New Roman" w:hAnsi="Times New Roman" w:cs="Times New Roman"/>
          <w:sz w:val="24"/>
          <w:szCs w:val="24"/>
        </w:rPr>
        <w:t>. Ov</w:t>
      </w:r>
      <w:r w:rsidR="00716678">
        <w:rPr>
          <w:rFonts w:ascii="Times New Roman" w:hAnsi="Times New Roman" w:cs="Times New Roman"/>
          <w:sz w:val="24"/>
          <w:szCs w:val="24"/>
        </w:rPr>
        <w:t>e</w:t>
      </w:r>
      <w:r w:rsidRPr="00B169AE">
        <w:rPr>
          <w:rFonts w:ascii="Times New Roman" w:hAnsi="Times New Roman" w:cs="Times New Roman"/>
          <w:sz w:val="24"/>
          <w:szCs w:val="24"/>
        </w:rPr>
        <w:t>rall,</w:t>
      </w:r>
      <w:r w:rsidR="005F159E">
        <w:rPr>
          <w:rFonts w:ascii="Times New Roman" w:hAnsi="Times New Roman" w:cs="Times New Roman"/>
          <w:sz w:val="24"/>
          <w:szCs w:val="24"/>
        </w:rPr>
        <w:t xml:space="preserve"> </w:t>
      </w:r>
      <w:r w:rsidRPr="00B169AE">
        <w:rPr>
          <w:rFonts w:ascii="Times New Roman" w:hAnsi="Times New Roman" w:cs="Times New Roman"/>
          <w:sz w:val="24"/>
          <w:szCs w:val="24"/>
        </w:rPr>
        <w:t>Adhunik may gain significantly from investing in an EDI strategy, which will represent the company as socially responsible and inclusive</w:t>
      </w:r>
      <w:r w:rsidR="00A44674">
        <w:rPr>
          <w:rFonts w:ascii="Times New Roman" w:hAnsi="Times New Roman" w:cs="Times New Roman"/>
          <w:sz w:val="24"/>
          <w:szCs w:val="24"/>
        </w:rPr>
        <w:t>.</w:t>
      </w:r>
    </w:p>
    <w:p w14:paraId="38F0518F" w14:textId="286E3080" w:rsidR="0015191A" w:rsidRPr="005166C6" w:rsidRDefault="005166C6" w:rsidP="00CD322C">
      <w:pPr>
        <w:spacing w:after="120" w:line="360" w:lineRule="auto"/>
        <w:rPr>
          <w:rFonts w:ascii="Times New Roman" w:hAnsi="Times New Roman" w:cs="Times New Roman"/>
          <w:b/>
          <w:bCs/>
          <w:sz w:val="24"/>
          <w:szCs w:val="24"/>
        </w:rPr>
      </w:pPr>
      <w:r w:rsidRPr="005166C6">
        <w:rPr>
          <w:rFonts w:ascii="Times New Roman" w:hAnsi="Times New Roman" w:cs="Times New Roman"/>
          <w:b/>
          <w:bCs/>
          <w:sz w:val="24"/>
          <w:szCs w:val="24"/>
        </w:rPr>
        <w:t>Conclusion</w:t>
      </w:r>
    </w:p>
    <w:p w14:paraId="0E00C859" w14:textId="77DD2A84" w:rsidR="00BC5178" w:rsidRPr="00BC5178" w:rsidRDefault="00B169AE" w:rsidP="00BC5178">
      <w:pPr>
        <w:spacing w:after="120" w:line="360" w:lineRule="auto"/>
        <w:rPr>
          <w:rFonts w:ascii="Times New Roman" w:hAnsi="Times New Roman" w:cs="Times New Roman"/>
          <w:sz w:val="24"/>
          <w:szCs w:val="24"/>
        </w:rPr>
      </w:pPr>
      <w:r w:rsidRPr="00B169AE">
        <w:rPr>
          <w:rFonts w:ascii="Times New Roman" w:hAnsi="Times New Roman" w:cs="Times New Roman"/>
          <w:sz w:val="24"/>
          <w:szCs w:val="24"/>
        </w:rPr>
        <w:t>Adhunik's approach to gender equality faces severe obstacles, limiting its capacity to foster a diverse and inclusive workplace. The organization's biassed recruitment processes, lack of diversity in leadership positions, and unequal pay and reward systems all foster a culture that limits possibilities for women and people of different backgrounds.</w:t>
      </w:r>
      <w:r w:rsidR="00BC5178" w:rsidRPr="00BC5178">
        <w:rPr>
          <w:rFonts w:ascii="Times New Roman" w:hAnsi="Times New Roman" w:cs="Times New Roman"/>
          <w:sz w:val="24"/>
          <w:szCs w:val="24"/>
        </w:rPr>
        <w:t xml:space="preserve"> </w:t>
      </w:r>
      <w:r w:rsidRPr="00B169AE">
        <w:rPr>
          <w:rFonts w:ascii="Times New Roman" w:hAnsi="Times New Roman" w:cs="Times New Roman"/>
          <w:sz w:val="24"/>
          <w:szCs w:val="24"/>
        </w:rPr>
        <w:t>Nevertheless, by adopting a thorough Equality, Diversity, and Inclusion (EDI) plan, Adhunik can address these concerns while also connecting with its economic objectives. A good EDI strategy can boost employee morale and engagement, improve the organization's reputation as a preferred employer, and encourage innovation. By investing in EDI, Adhunik can foster a more inclusive workplace which helps both its employees and the company image.</w:t>
      </w:r>
    </w:p>
    <w:p w14:paraId="4F12AD03" w14:textId="77777777" w:rsidR="00BC5178" w:rsidRDefault="00BC5178" w:rsidP="00BC5178">
      <w:pPr>
        <w:spacing w:after="120" w:line="360" w:lineRule="auto"/>
        <w:rPr>
          <w:rFonts w:ascii="Times New Roman" w:hAnsi="Times New Roman" w:cs="Times New Roman"/>
          <w:sz w:val="24"/>
          <w:szCs w:val="24"/>
        </w:rPr>
      </w:pPr>
    </w:p>
    <w:p w14:paraId="3F2E38E4" w14:textId="77777777" w:rsidR="004A6024" w:rsidRDefault="004A6024" w:rsidP="00BC5178">
      <w:pPr>
        <w:spacing w:after="120" w:line="360" w:lineRule="auto"/>
        <w:rPr>
          <w:rFonts w:ascii="Times New Roman" w:hAnsi="Times New Roman" w:cs="Times New Roman"/>
          <w:sz w:val="24"/>
          <w:szCs w:val="24"/>
        </w:rPr>
      </w:pPr>
    </w:p>
    <w:p w14:paraId="69952DAB" w14:textId="77777777" w:rsidR="004A6024" w:rsidRDefault="004A6024" w:rsidP="00BC5178">
      <w:pPr>
        <w:spacing w:after="120" w:line="360" w:lineRule="auto"/>
        <w:rPr>
          <w:rFonts w:ascii="Times New Roman" w:hAnsi="Times New Roman" w:cs="Times New Roman"/>
          <w:sz w:val="24"/>
          <w:szCs w:val="24"/>
        </w:rPr>
      </w:pPr>
    </w:p>
    <w:p w14:paraId="483A117E" w14:textId="77777777" w:rsidR="0018731E" w:rsidRDefault="0018731E" w:rsidP="00BC5178">
      <w:pPr>
        <w:spacing w:after="120" w:line="360" w:lineRule="auto"/>
        <w:rPr>
          <w:rFonts w:ascii="Times New Roman" w:hAnsi="Times New Roman" w:cs="Times New Roman"/>
          <w:sz w:val="24"/>
          <w:szCs w:val="24"/>
        </w:rPr>
      </w:pPr>
    </w:p>
    <w:p w14:paraId="6C051E10" w14:textId="77777777" w:rsidR="0018731E" w:rsidRDefault="0018731E" w:rsidP="00BC5178">
      <w:pPr>
        <w:spacing w:after="120" w:line="360" w:lineRule="auto"/>
        <w:rPr>
          <w:rFonts w:ascii="Times New Roman" w:hAnsi="Times New Roman" w:cs="Times New Roman"/>
          <w:sz w:val="24"/>
          <w:szCs w:val="24"/>
        </w:rPr>
      </w:pPr>
    </w:p>
    <w:p w14:paraId="3E3873F2" w14:textId="77777777" w:rsidR="000C3AD7" w:rsidRDefault="000C3AD7" w:rsidP="00BC5178">
      <w:pPr>
        <w:spacing w:after="120" w:line="360" w:lineRule="auto"/>
        <w:rPr>
          <w:rFonts w:ascii="Times New Roman" w:hAnsi="Times New Roman" w:cs="Times New Roman"/>
          <w:sz w:val="24"/>
          <w:szCs w:val="24"/>
        </w:rPr>
      </w:pPr>
    </w:p>
    <w:p w14:paraId="1801CEE3" w14:textId="77777777" w:rsidR="000C3AD7" w:rsidRDefault="000C3AD7" w:rsidP="00BC5178">
      <w:pPr>
        <w:spacing w:after="120" w:line="360" w:lineRule="auto"/>
        <w:rPr>
          <w:rFonts w:ascii="Times New Roman" w:hAnsi="Times New Roman" w:cs="Times New Roman"/>
          <w:sz w:val="24"/>
          <w:szCs w:val="24"/>
        </w:rPr>
      </w:pPr>
    </w:p>
    <w:p w14:paraId="31DBCCB6" w14:textId="77777777" w:rsidR="00481ABB" w:rsidRDefault="00481ABB" w:rsidP="00BC5178">
      <w:pPr>
        <w:spacing w:after="120" w:line="360" w:lineRule="auto"/>
        <w:rPr>
          <w:rFonts w:ascii="Times New Roman" w:hAnsi="Times New Roman" w:cs="Times New Roman"/>
          <w:sz w:val="24"/>
          <w:szCs w:val="24"/>
        </w:rPr>
      </w:pPr>
    </w:p>
    <w:p w14:paraId="4BBCFDBF" w14:textId="77777777" w:rsidR="000C3AD7" w:rsidRDefault="000C3AD7" w:rsidP="00BC5178">
      <w:pPr>
        <w:spacing w:after="120" w:line="360" w:lineRule="auto"/>
        <w:rPr>
          <w:rFonts w:ascii="Times New Roman" w:hAnsi="Times New Roman" w:cs="Times New Roman"/>
          <w:sz w:val="24"/>
          <w:szCs w:val="24"/>
        </w:rPr>
      </w:pPr>
    </w:p>
    <w:p w14:paraId="4B04C752" w14:textId="77777777" w:rsidR="004A6024" w:rsidRDefault="004A6024" w:rsidP="00BC5178">
      <w:pPr>
        <w:spacing w:after="120" w:line="360" w:lineRule="auto"/>
        <w:rPr>
          <w:rFonts w:ascii="Times New Roman" w:hAnsi="Times New Roman" w:cs="Times New Roman"/>
          <w:sz w:val="24"/>
          <w:szCs w:val="24"/>
        </w:rPr>
      </w:pPr>
    </w:p>
    <w:p w14:paraId="16B37630" w14:textId="1D5891E2" w:rsidR="004A6024" w:rsidRPr="004A6024" w:rsidRDefault="004A6024" w:rsidP="003763D0">
      <w:pPr>
        <w:spacing w:after="120" w:line="360" w:lineRule="auto"/>
        <w:jc w:val="center"/>
        <w:rPr>
          <w:rFonts w:ascii="Times New Roman" w:hAnsi="Times New Roman" w:cs="Times New Roman"/>
          <w:b/>
          <w:bCs/>
          <w:sz w:val="24"/>
          <w:szCs w:val="24"/>
        </w:rPr>
      </w:pPr>
      <w:r w:rsidRPr="004A6024">
        <w:rPr>
          <w:rFonts w:ascii="Times New Roman" w:hAnsi="Times New Roman" w:cs="Times New Roman"/>
          <w:b/>
          <w:bCs/>
          <w:sz w:val="24"/>
          <w:szCs w:val="24"/>
        </w:rPr>
        <w:t>REFERENCE</w:t>
      </w:r>
    </w:p>
    <w:p w14:paraId="5B97410D" w14:textId="749C3BE5"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CIPD (2022) </w:t>
      </w:r>
      <w:r w:rsidRPr="002B17CA">
        <w:rPr>
          <w:rFonts w:ascii="Times New Roman" w:hAnsi="Times New Roman" w:cs="Times New Roman"/>
          <w:i/>
          <w:iCs/>
          <w:sz w:val="24"/>
          <w:szCs w:val="24"/>
        </w:rPr>
        <w:t>CIPD | Equality, diversity and inclusion in the Workplace | Factsheets</w:t>
      </w:r>
      <w:r w:rsidRPr="002B17CA">
        <w:rPr>
          <w:rFonts w:ascii="Times New Roman" w:hAnsi="Times New Roman" w:cs="Times New Roman"/>
          <w:sz w:val="24"/>
          <w:szCs w:val="24"/>
        </w:rPr>
        <w:t xml:space="preserve">, </w:t>
      </w:r>
      <w:r w:rsidRPr="002B17CA">
        <w:rPr>
          <w:rFonts w:ascii="Times New Roman" w:hAnsi="Times New Roman" w:cs="Times New Roman"/>
          <w:i/>
          <w:iCs/>
          <w:sz w:val="24"/>
          <w:szCs w:val="24"/>
        </w:rPr>
        <w:t>CIPD</w:t>
      </w:r>
      <w:r w:rsidRPr="002B17CA">
        <w:rPr>
          <w:rFonts w:ascii="Times New Roman" w:hAnsi="Times New Roman" w:cs="Times New Roman"/>
          <w:sz w:val="24"/>
          <w:szCs w:val="24"/>
        </w:rPr>
        <w:t>. Available at: https://www.cipd.org/en/knowledge/factsheets/diversity-factsheet/ (Accessed: April 18, 2024)</w:t>
      </w:r>
      <w:r w:rsidR="00062656">
        <w:rPr>
          <w:rFonts w:ascii="Times New Roman" w:hAnsi="Times New Roman" w:cs="Times New Roman"/>
          <w:sz w:val="24"/>
          <w:szCs w:val="24"/>
        </w:rPr>
        <w:t>.</w:t>
      </w:r>
    </w:p>
    <w:p w14:paraId="54A77673"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Ciuk, S., Śliwa, M. and Harzing, A. (2022) “Implementing the equality, diversity, and inclusion agenda in multinational companies: A framework for the management of (linguistic) diversity,” </w:t>
      </w:r>
      <w:r w:rsidRPr="002B17CA">
        <w:rPr>
          <w:rFonts w:ascii="Times New Roman" w:hAnsi="Times New Roman" w:cs="Times New Roman"/>
          <w:i/>
          <w:iCs/>
          <w:sz w:val="24"/>
          <w:szCs w:val="24"/>
        </w:rPr>
        <w:t>Human Resource Management Journal</w:t>
      </w:r>
      <w:r w:rsidRPr="002B17CA">
        <w:rPr>
          <w:rFonts w:ascii="Times New Roman" w:hAnsi="Times New Roman" w:cs="Times New Roman"/>
          <w:sz w:val="24"/>
          <w:szCs w:val="24"/>
        </w:rPr>
        <w:t>. Wiley, 33(4), pp. 868–888. doi: 10.1111/1748-8583.12487.</w:t>
      </w:r>
    </w:p>
    <w:p w14:paraId="3777F4BE"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Corsino, L. and Fuller, A. T. (2021) “Educating for diversity, equity, and inclusion: A review of commonly used educational approaches,” </w:t>
      </w:r>
      <w:r w:rsidRPr="002B17CA">
        <w:rPr>
          <w:rFonts w:ascii="Times New Roman" w:hAnsi="Times New Roman" w:cs="Times New Roman"/>
          <w:i/>
          <w:iCs/>
          <w:sz w:val="24"/>
          <w:szCs w:val="24"/>
        </w:rPr>
        <w:t>Journal of Clinical and Translational Science</w:t>
      </w:r>
      <w:r w:rsidRPr="002B17CA">
        <w:rPr>
          <w:rFonts w:ascii="Times New Roman" w:hAnsi="Times New Roman" w:cs="Times New Roman"/>
          <w:sz w:val="24"/>
          <w:szCs w:val="24"/>
        </w:rPr>
        <w:t>. Cambridge University Press (CUP), 5(1). doi: 10.1017/cts.2021.834.</w:t>
      </w:r>
    </w:p>
    <w:p w14:paraId="0FF4E422"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Dewidar, O., Elmestekawy, N. and Welch, V. (2022) “Improving equity, diversity, and inclusion in academia,” </w:t>
      </w:r>
      <w:r w:rsidRPr="002B17CA">
        <w:rPr>
          <w:rFonts w:ascii="Times New Roman" w:hAnsi="Times New Roman" w:cs="Times New Roman"/>
          <w:i/>
          <w:iCs/>
          <w:sz w:val="24"/>
          <w:szCs w:val="24"/>
        </w:rPr>
        <w:t>Research Integrity and Peer Review</w:t>
      </w:r>
      <w:r w:rsidRPr="002B17CA">
        <w:rPr>
          <w:rFonts w:ascii="Times New Roman" w:hAnsi="Times New Roman" w:cs="Times New Roman"/>
          <w:sz w:val="24"/>
          <w:szCs w:val="24"/>
        </w:rPr>
        <w:t>. Springer Science and Business Media LLC, 7(1). doi: 10.1186/s41073-022-00123-z.</w:t>
      </w:r>
    </w:p>
    <w:p w14:paraId="40E0AE4A"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Dewidar, O., Elmestekawy, N. and Welch, V. (2022) “Improving equity, diversity, and inclusion in academia,” </w:t>
      </w:r>
      <w:r w:rsidRPr="002B17CA">
        <w:rPr>
          <w:rFonts w:ascii="Times New Roman" w:hAnsi="Times New Roman" w:cs="Times New Roman"/>
          <w:i/>
          <w:iCs/>
          <w:sz w:val="24"/>
          <w:szCs w:val="24"/>
        </w:rPr>
        <w:t>Research Integrity and Peer Review</w:t>
      </w:r>
      <w:r w:rsidRPr="002B17CA">
        <w:rPr>
          <w:rFonts w:ascii="Times New Roman" w:hAnsi="Times New Roman" w:cs="Times New Roman"/>
          <w:sz w:val="24"/>
          <w:szCs w:val="24"/>
        </w:rPr>
        <w:t>. Springer Science and Business Media LLC, 7(1). doi: 10.1186/s41073-022-00123-z.</w:t>
      </w:r>
    </w:p>
    <w:p w14:paraId="068B20BB"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Foley, M. and Cooper, R. (2021) “Workplace gender equality in the post-pandemic era: Where to next?,” </w:t>
      </w:r>
      <w:r w:rsidRPr="002B17CA">
        <w:rPr>
          <w:rFonts w:ascii="Times New Roman" w:hAnsi="Times New Roman" w:cs="Times New Roman"/>
          <w:i/>
          <w:iCs/>
          <w:sz w:val="24"/>
          <w:szCs w:val="24"/>
        </w:rPr>
        <w:t>Journal of Industrial Relations</w:t>
      </w:r>
      <w:r w:rsidRPr="002B17CA">
        <w:rPr>
          <w:rFonts w:ascii="Times New Roman" w:hAnsi="Times New Roman" w:cs="Times New Roman"/>
          <w:sz w:val="24"/>
          <w:szCs w:val="24"/>
        </w:rPr>
        <w:t>. SAGE Publications, 63(4), pp. 463–476. doi: 10.1177/00221856211035173.</w:t>
      </w:r>
    </w:p>
    <w:p w14:paraId="2273633A"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Garg, S. and Sangwan, S. (2020) “Literature Review on Diversity and Inclusion at Workplace, 2010–2017,” </w:t>
      </w:r>
      <w:r w:rsidRPr="002B17CA">
        <w:rPr>
          <w:rFonts w:ascii="Times New Roman" w:hAnsi="Times New Roman" w:cs="Times New Roman"/>
          <w:i/>
          <w:iCs/>
          <w:sz w:val="24"/>
          <w:szCs w:val="24"/>
        </w:rPr>
        <w:t>Vision: The Journal of Business Perspective</w:t>
      </w:r>
      <w:r w:rsidRPr="002B17CA">
        <w:rPr>
          <w:rFonts w:ascii="Times New Roman" w:hAnsi="Times New Roman" w:cs="Times New Roman"/>
          <w:sz w:val="24"/>
          <w:szCs w:val="24"/>
        </w:rPr>
        <w:t>. SAGE Publications, 25(1), pp. 12–22. doi: 10.1177/0972262920959523.</w:t>
      </w:r>
    </w:p>
    <w:p w14:paraId="3FB271E0"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Kalev, A. and Deutsch, G. (2018) “Gender Inequality and Workplace Organizations: Understanding Reproduction and Change,” </w:t>
      </w:r>
      <w:r w:rsidRPr="002B17CA">
        <w:rPr>
          <w:rFonts w:ascii="Times New Roman" w:hAnsi="Times New Roman" w:cs="Times New Roman"/>
          <w:i/>
          <w:iCs/>
          <w:sz w:val="24"/>
          <w:szCs w:val="24"/>
        </w:rPr>
        <w:t>Handbook of the Sociology of Gender</w:t>
      </w:r>
      <w:r w:rsidRPr="002B17CA">
        <w:rPr>
          <w:rFonts w:ascii="Times New Roman" w:hAnsi="Times New Roman" w:cs="Times New Roman"/>
          <w:sz w:val="24"/>
          <w:szCs w:val="24"/>
        </w:rPr>
        <w:t>. Cham: Springer International Publishing, pp. 257–269. doi: 10.1007/978-3-319-76333-0_19.</w:t>
      </w:r>
    </w:p>
    <w:p w14:paraId="3BC774FE"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Lignou, S., Sheehan, M. and Singh, I. (2024) “‘A commitment to Equality, Diversity and Inclusion’: a conceptual framework for equality of opportunity in Patient and Public Involvement in research,” </w:t>
      </w:r>
      <w:r w:rsidRPr="002B17CA">
        <w:rPr>
          <w:rFonts w:ascii="Times New Roman" w:hAnsi="Times New Roman" w:cs="Times New Roman"/>
          <w:i/>
          <w:iCs/>
          <w:sz w:val="24"/>
          <w:szCs w:val="24"/>
        </w:rPr>
        <w:t>Research Ethics</w:t>
      </w:r>
      <w:r w:rsidRPr="002B17CA">
        <w:rPr>
          <w:rFonts w:ascii="Times New Roman" w:hAnsi="Times New Roman" w:cs="Times New Roman"/>
          <w:sz w:val="24"/>
          <w:szCs w:val="24"/>
        </w:rPr>
        <w:t>. SAGE Publications, 20(2), pp. 288–303. doi: 10.1177/17470161231224060.</w:t>
      </w:r>
    </w:p>
    <w:p w14:paraId="6DE00D36"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Özbilgin, M. F. and Erbil, C. (2023) “Insights into Equality, Diversity, and Inclusion,” </w:t>
      </w:r>
      <w:r w:rsidRPr="002B17CA">
        <w:rPr>
          <w:rFonts w:ascii="Times New Roman" w:hAnsi="Times New Roman" w:cs="Times New Roman"/>
          <w:i/>
          <w:iCs/>
          <w:sz w:val="24"/>
          <w:szCs w:val="24"/>
        </w:rPr>
        <w:t>International Perspectives on Equality, Diversity and Inclusion</w:t>
      </w:r>
      <w:r w:rsidRPr="002B17CA">
        <w:rPr>
          <w:rFonts w:ascii="Times New Roman" w:hAnsi="Times New Roman" w:cs="Times New Roman"/>
          <w:sz w:val="24"/>
          <w:szCs w:val="24"/>
        </w:rPr>
        <w:t>. Emerald Publishing Limited, pp. 1–18. doi: 10.1108/s2051-233320230000009001.</w:t>
      </w:r>
    </w:p>
    <w:p w14:paraId="4767C1C2"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Patrick, H. A. and Kumar, V. R. (2012) “Managing Workplace Diversity,” </w:t>
      </w:r>
      <w:r w:rsidRPr="002B17CA">
        <w:rPr>
          <w:rFonts w:ascii="Times New Roman" w:hAnsi="Times New Roman" w:cs="Times New Roman"/>
          <w:i/>
          <w:iCs/>
          <w:sz w:val="24"/>
          <w:szCs w:val="24"/>
        </w:rPr>
        <w:t>SAGE Open</w:t>
      </w:r>
      <w:r w:rsidRPr="002B17CA">
        <w:rPr>
          <w:rFonts w:ascii="Times New Roman" w:hAnsi="Times New Roman" w:cs="Times New Roman"/>
          <w:sz w:val="24"/>
          <w:szCs w:val="24"/>
        </w:rPr>
        <w:t>. SAGE Publications, 2(2), p. 215824401244461. doi: 10.1177/2158244012444615.</w:t>
      </w:r>
    </w:p>
    <w:p w14:paraId="7281141A"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Pedulla, D. (2022) </w:t>
      </w:r>
      <w:r w:rsidRPr="002B17CA">
        <w:rPr>
          <w:rFonts w:ascii="Times New Roman" w:hAnsi="Times New Roman" w:cs="Times New Roman"/>
          <w:i/>
          <w:iCs/>
          <w:sz w:val="24"/>
          <w:szCs w:val="24"/>
        </w:rPr>
        <w:t>Diversity and Inclusion Efforts That Really Work</w:t>
      </w:r>
      <w:r w:rsidRPr="002B17CA">
        <w:rPr>
          <w:rFonts w:ascii="Times New Roman" w:hAnsi="Times New Roman" w:cs="Times New Roman"/>
          <w:sz w:val="24"/>
          <w:szCs w:val="24"/>
        </w:rPr>
        <w:t xml:space="preserve">, </w:t>
      </w:r>
      <w:r w:rsidRPr="002B17CA">
        <w:rPr>
          <w:rFonts w:ascii="Times New Roman" w:hAnsi="Times New Roman" w:cs="Times New Roman"/>
          <w:i/>
          <w:iCs/>
          <w:sz w:val="24"/>
          <w:szCs w:val="24"/>
        </w:rPr>
        <w:t>Harvard Business Review</w:t>
      </w:r>
      <w:r w:rsidRPr="002B17CA">
        <w:rPr>
          <w:rFonts w:ascii="Times New Roman" w:hAnsi="Times New Roman" w:cs="Times New Roman"/>
          <w:sz w:val="24"/>
          <w:szCs w:val="24"/>
        </w:rPr>
        <w:t>. Available at: https://hbr.org/2020/05/diversity-and-inclusion-efforts-that-really-work.</w:t>
      </w:r>
    </w:p>
    <w:p w14:paraId="5CED2779"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Ryan, M. K. (2022) “Addressing workplace gender inequality: Using the evidence to avoid common pitfalls,” </w:t>
      </w:r>
      <w:r w:rsidRPr="002B17CA">
        <w:rPr>
          <w:rFonts w:ascii="Times New Roman" w:hAnsi="Times New Roman" w:cs="Times New Roman"/>
          <w:i/>
          <w:iCs/>
          <w:sz w:val="24"/>
          <w:szCs w:val="24"/>
        </w:rPr>
        <w:t>British Journal of Social Psychology</w:t>
      </w:r>
      <w:r w:rsidRPr="002B17CA">
        <w:rPr>
          <w:rFonts w:ascii="Times New Roman" w:hAnsi="Times New Roman" w:cs="Times New Roman"/>
          <w:sz w:val="24"/>
          <w:szCs w:val="24"/>
        </w:rPr>
        <w:t>. Wiley, 62(1), pp. 1–11. doi: 10.1111/bjso.12606.</w:t>
      </w:r>
    </w:p>
    <w:p w14:paraId="11103AE1"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Siri, A., Leone, C. and Bencivenga, R. (2022) “Equality, Diversity, and Inclusion Strategies Adopted in a European University Alliance to Facilitate the Higher Education-to-Work Transition,” </w:t>
      </w:r>
      <w:r w:rsidRPr="002B17CA">
        <w:rPr>
          <w:rFonts w:ascii="Times New Roman" w:hAnsi="Times New Roman" w:cs="Times New Roman"/>
          <w:i/>
          <w:iCs/>
          <w:sz w:val="24"/>
          <w:szCs w:val="24"/>
        </w:rPr>
        <w:t>Societies</w:t>
      </w:r>
      <w:r w:rsidRPr="002B17CA">
        <w:rPr>
          <w:rFonts w:ascii="Times New Roman" w:hAnsi="Times New Roman" w:cs="Times New Roman"/>
          <w:sz w:val="24"/>
          <w:szCs w:val="24"/>
        </w:rPr>
        <w:t>. MDPI AG, 12(5), p. 140. doi: 10.3390/soc12050140.</w:t>
      </w:r>
    </w:p>
    <w:p w14:paraId="36AF8F1F"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Son Hing, L. S., Sakr, N., Sorenson, J. B., Stamarski, C. S., Caniera, K. and Colaco, C. (2023) “Gender inequities in the workplace: A holistic review of organizational processes and practices,” </w:t>
      </w:r>
      <w:r w:rsidRPr="002B17CA">
        <w:rPr>
          <w:rFonts w:ascii="Times New Roman" w:hAnsi="Times New Roman" w:cs="Times New Roman"/>
          <w:i/>
          <w:iCs/>
          <w:sz w:val="24"/>
          <w:szCs w:val="24"/>
        </w:rPr>
        <w:t>Human Resource Management Review</w:t>
      </w:r>
      <w:r w:rsidRPr="002B17CA">
        <w:rPr>
          <w:rFonts w:ascii="Times New Roman" w:hAnsi="Times New Roman" w:cs="Times New Roman"/>
          <w:sz w:val="24"/>
          <w:szCs w:val="24"/>
        </w:rPr>
        <w:t>. Elsevier BV, 33(3), p. 100968. doi: 10.1016/j.hrmr.2023.100968.</w:t>
      </w:r>
    </w:p>
    <w:p w14:paraId="081279BF"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Stamarski, C. S. and Son Hing, L. S. (2015) “Gender inequalities in the workplace: the effects of organizational structures, processes, practices, and decision makers’ sexism,” </w:t>
      </w:r>
      <w:r w:rsidRPr="002B17CA">
        <w:rPr>
          <w:rFonts w:ascii="Times New Roman" w:hAnsi="Times New Roman" w:cs="Times New Roman"/>
          <w:i/>
          <w:iCs/>
          <w:sz w:val="24"/>
          <w:szCs w:val="24"/>
        </w:rPr>
        <w:t>Frontiers in Psychology</w:t>
      </w:r>
      <w:r w:rsidRPr="002B17CA">
        <w:rPr>
          <w:rFonts w:ascii="Times New Roman" w:hAnsi="Times New Roman" w:cs="Times New Roman"/>
          <w:sz w:val="24"/>
          <w:szCs w:val="24"/>
        </w:rPr>
        <w:t>. Frontiers Media SA, 6. doi: 10.3389/fpsyg.2015.01400.</w:t>
      </w:r>
    </w:p>
    <w:p w14:paraId="47D553ED"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Verniers, C. and Vala, J. (2018) “Justifying gender discrimination in the workplace: The mediating role of motherhood myths,” </w:t>
      </w:r>
      <w:r w:rsidRPr="002B17CA">
        <w:rPr>
          <w:rFonts w:ascii="Times New Roman" w:hAnsi="Times New Roman" w:cs="Times New Roman"/>
          <w:i/>
          <w:iCs/>
          <w:sz w:val="24"/>
          <w:szCs w:val="24"/>
        </w:rPr>
        <w:t>PLOS ONE</w:t>
      </w:r>
      <w:r w:rsidRPr="002B17CA">
        <w:rPr>
          <w:rFonts w:ascii="Times New Roman" w:hAnsi="Times New Roman" w:cs="Times New Roman"/>
          <w:sz w:val="24"/>
          <w:szCs w:val="24"/>
        </w:rPr>
        <w:t>. Edited by L. A. N. Amaral. Public Library of Science (PLoS), 13(1), p. e0190657. doi: 10.1371/journal.pone.0190657.</w:t>
      </w:r>
    </w:p>
    <w:p w14:paraId="5E018622" w14:textId="77777777" w:rsidR="002B17CA" w:rsidRPr="002B17CA" w:rsidRDefault="002B17CA" w:rsidP="002B17CA">
      <w:pPr>
        <w:spacing w:after="120" w:line="360" w:lineRule="auto"/>
        <w:ind w:left="720" w:hanging="720"/>
        <w:rPr>
          <w:rFonts w:ascii="Times New Roman" w:hAnsi="Times New Roman" w:cs="Times New Roman"/>
          <w:sz w:val="24"/>
          <w:szCs w:val="24"/>
        </w:rPr>
      </w:pPr>
      <w:r w:rsidRPr="002B17CA">
        <w:rPr>
          <w:rFonts w:ascii="Times New Roman" w:hAnsi="Times New Roman" w:cs="Times New Roman"/>
          <w:sz w:val="24"/>
          <w:szCs w:val="24"/>
        </w:rPr>
        <w:t xml:space="preserve">Wolbring, G. and Nguyen, A. (2023) “Equity/Equality, Diversity and Inclusion, and Other EDI Phrases and EDI Policy Frameworks: A Scoping Review,” </w:t>
      </w:r>
      <w:r w:rsidRPr="002B17CA">
        <w:rPr>
          <w:rFonts w:ascii="Times New Roman" w:hAnsi="Times New Roman" w:cs="Times New Roman"/>
          <w:i/>
          <w:iCs/>
          <w:sz w:val="24"/>
          <w:szCs w:val="24"/>
        </w:rPr>
        <w:t>Trends in Higher Education</w:t>
      </w:r>
      <w:r w:rsidRPr="002B17CA">
        <w:rPr>
          <w:rFonts w:ascii="Times New Roman" w:hAnsi="Times New Roman" w:cs="Times New Roman"/>
          <w:sz w:val="24"/>
          <w:szCs w:val="24"/>
        </w:rPr>
        <w:t>. MDPI AG, 2(1), pp. 168–237. doi: 10.3390/higheredu2010011.</w:t>
      </w:r>
    </w:p>
    <w:p w14:paraId="028655CB" w14:textId="77777777" w:rsidR="004A6024" w:rsidRPr="00BC5178" w:rsidRDefault="004A6024" w:rsidP="00BC5178">
      <w:pPr>
        <w:spacing w:after="120" w:line="360" w:lineRule="auto"/>
        <w:rPr>
          <w:rFonts w:ascii="Times New Roman" w:hAnsi="Times New Roman" w:cs="Times New Roman"/>
          <w:sz w:val="24"/>
          <w:szCs w:val="24"/>
        </w:rPr>
      </w:pPr>
    </w:p>
    <w:p w14:paraId="47D41057" w14:textId="77777777" w:rsidR="005E3411" w:rsidRPr="005E3411" w:rsidRDefault="005E3411" w:rsidP="00CD322C">
      <w:pPr>
        <w:spacing w:after="120" w:line="360" w:lineRule="auto"/>
        <w:rPr>
          <w:rFonts w:ascii="Times New Roman" w:hAnsi="Times New Roman" w:cs="Times New Roman"/>
          <w:sz w:val="24"/>
          <w:szCs w:val="24"/>
        </w:rPr>
      </w:pPr>
    </w:p>
    <w:sectPr w:rsidR="005E3411" w:rsidRPr="005E3411" w:rsidSect="002456B2">
      <w:foot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6539A" w14:textId="77777777" w:rsidR="00556F3F" w:rsidRDefault="00556F3F" w:rsidP="004140E7">
      <w:pPr>
        <w:spacing w:after="0" w:line="240" w:lineRule="auto"/>
      </w:pPr>
      <w:r>
        <w:separator/>
      </w:r>
    </w:p>
  </w:endnote>
  <w:endnote w:type="continuationSeparator" w:id="0">
    <w:p w14:paraId="0F9C7736" w14:textId="77777777" w:rsidR="00556F3F" w:rsidRDefault="00556F3F" w:rsidP="0041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483322"/>
      <w:docPartObj>
        <w:docPartGallery w:val="Page Numbers (Bottom of Page)"/>
        <w:docPartUnique/>
      </w:docPartObj>
    </w:sdtPr>
    <w:sdtEndPr>
      <w:rPr>
        <w:rFonts w:ascii="Times New Roman" w:hAnsi="Times New Roman" w:cs="Times New Roman"/>
        <w:noProof/>
        <w:sz w:val="24"/>
        <w:szCs w:val="24"/>
      </w:rPr>
    </w:sdtEndPr>
    <w:sdtContent>
      <w:p w14:paraId="4673F83D" w14:textId="2B31C334" w:rsidR="004140E7" w:rsidRPr="004140E7" w:rsidRDefault="004140E7">
        <w:pPr>
          <w:pStyle w:val="Footer"/>
          <w:jc w:val="center"/>
          <w:rPr>
            <w:rFonts w:ascii="Times New Roman" w:hAnsi="Times New Roman" w:cs="Times New Roman"/>
            <w:sz w:val="24"/>
            <w:szCs w:val="24"/>
          </w:rPr>
        </w:pPr>
        <w:r w:rsidRPr="004140E7">
          <w:rPr>
            <w:rFonts w:ascii="Times New Roman" w:hAnsi="Times New Roman" w:cs="Times New Roman"/>
            <w:sz w:val="24"/>
            <w:szCs w:val="24"/>
          </w:rPr>
          <w:fldChar w:fldCharType="begin"/>
        </w:r>
        <w:r w:rsidRPr="004140E7">
          <w:rPr>
            <w:rFonts w:ascii="Times New Roman" w:hAnsi="Times New Roman" w:cs="Times New Roman"/>
            <w:sz w:val="24"/>
            <w:szCs w:val="24"/>
          </w:rPr>
          <w:instrText xml:space="preserve"> PAGE   \* MERGEFORMAT </w:instrText>
        </w:r>
        <w:r w:rsidRPr="004140E7">
          <w:rPr>
            <w:rFonts w:ascii="Times New Roman" w:hAnsi="Times New Roman" w:cs="Times New Roman"/>
            <w:sz w:val="24"/>
            <w:szCs w:val="24"/>
          </w:rPr>
          <w:fldChar w:fldCharType="separate"/>
        </w:r>
        <w:r w:rsidRPr="004140E7">
          <w:rPr>
            <w:rFonts w:ascii="Times New Roman" w:hAnsi="Times New Roman" w:cs="Times New Roman"/>
            <w:noProof/>
            <w:sz w:val="24"/>
            <w:szCs w:val="24"/>
          </w:rPr>
          <w:t>2</w:t>
        </w:r>
        <w:r w:rsidRPr="004140E7">
          <w:rPr>
            <w:rFonts w:ascii="Times New Roman" w:hAnsi="Times New Roman" w:cs="Times New Roman"/>
            <w:noProof/>
            <w:sz w:val="24"/>
            <w:szCs w:val="24"/>
          </w:rPr>
          <w:fldChar w:fldCharType="end"/>
        </w:r>
      </w:p>
    </w:sdtContent>
  </w:sdt>
  <w:p w14:paraId="3F09CB28" w14:textId="77777777" w:rsidR="004140E7" w:rsidRDefault="00414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150859"/>
      <w:docPartObj>
        <w:docPartGallery w:val="Page Numbers (Bottom of Page)"/>
        <w:docPartUnique/>
      </w:docPartObj>
    </w:sdtPr>
    <w:sdtEndPr>
      <w:rPr>
        <w:rFonts w:ascii="Times New Roman" w:hAnsi="Times New Roman" w:cs="Times New Roman"/>
        <w:noProof/>
        <w:sz w:val="24"/>
        <w:szCs w:val="24"/>
      </w:rPr>
    </w:sdtEndPr>
    <w:sdtContent>
      <w:p w14:paraId="7477A14D" w14:textId="77777777" w:rsidR="004140E7" w:rsidRPr="004140E7" w:rsidRDefault="004140E7">
        <w:pPr>
          <w:pStyle w:val="Footer"/>
          <w:jc w:val="center"/>
          <w:rPr>
            <w:rFonts w:ascii="Times New Roman" w:hAnsi="Times New Roman" w:cs="Times New Roman"/>
            <w:sz w:val="24"/>
            <w:szCs w:val="24"/>
          </w:rPr>
        </w:pPr>
        <w:r w:rsidRPr="004140E7">
          <w:rPr>
            <w:rFonts w:ascii="Times New Roman" w:hAnsi="Times New Roman" w:cs="Times New Roman"/>
            <w:sz w:val="24"/>
            <w:szCs w:val="24"/>
          </w:rPr>
          <w:fldChar w:fldCharType="begin"/>
        </w:r>
        <w:r w:rsidRPr="004140E7">
          <w:rPr>
            <w:rFonts w:ascii="Times New Roman" w:hAnsi="Times New Roman" w:cs="Times New Roman"/>
            <w:sz w:val="24"/>
            <w:szCs w:val="24"/>
          </w:rPr>
          <w:instrText xml:space="preserve"> PAGE   \* MERGEFORMAT </w:instrText>
        </w:r>
        <w:r w:rsidRPr="004140E7">
          <w:rPr>
            <w:rFonts w:ascii="Times New Roman" w:hAnsi="Times New Roman" w:cs="Times New Roman"/>
            <w:sz w:val="24"/>
            <w:szCs w:val="24"/>
          </w:rPr>
          <w:fldChar w:fldCharType="separate"/>
        </w:r>
        <w:r w:rsidRPr="004140E7">
          <w:rPr>
            <w:rFonts w:ascii="Times New Roman" w:hAnsi="Times New Roman" w:cs="Times New Roman"/>
            <w:noProof/>
            <w:sz w:val="24"/>
            <w:szCs w:val="24"/>
          </w:rPr>
          <w:t>2</w:t>
        </w:r>
        <w:r w:rsidRPr="004140E7">
          <w:rPr>
            <w:rFonts w:ascii="Times New Roman" w:hAnsi="Times New Roman" w:cs="Times New Roman"/>
            <w:noProof/>
            <w:sz w:val="24"/>
            <w:szCs w:val="24"/>
          </w:rPr>
          <w:fldChar w:fldCharType="end"/>
        </w:r>
      </w:p>
    </w:sdtContent>
  </w:sdt>
  <w:p w14:paraId="2C73F951" w14:textId="77777777" w:rsidR="004140E7" w:rsidRDefault="00414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2CC38" w14:textId="77777777" w:rsidR="00556F3F" w:rsidRDefault="00556F3F" w:rsidP="004140E7">
      <w:pPr>
        <w:spacing w:after="0" w:line="240" w:lineRule="auto"/>
      </w:pPr>
      <w:r>
        <w:separator/>
      </w:r>
    </w:p>
  </w:footnote>
  <w:footnote w:type="continuationSeparator" w:id="0">
    <w:p w14:paraId="64D8F96C" w14:textId="77777777" w:rsidR="00556F3F" w:rsidRDefault="00556F3F" w:rsidP="004140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11"/>
    <w:rsid w:val="00062656"/>
    <w:rsid w:val="000A02BA"/>
    <w:rsid w:val="000C3AD7"/>
    <w:rsid w:val="000D0AEC"/>
    <w:rsid w:val="001011F9"/>
    <w:rsid w:val="00120246"/>
    <w:rsid w:val="00141238"/>
    <w:rsid w:val="0015191A"/>
    <w:rsid w:val="0018731E"/>
    <w:rsid w:val="001D6BF0"/>
    <w:rsid w:val="00241B4F"/>
    <w:rsid w:val="002456B2"/>
    <w:rsid w:val="002B17CA"/>
    <w:rsid w:val="002B79E7"/>
    <w:rsid w:val="002F5992"/>
    <w:rsid w:val="003763D0"/>
    <w:rsid w:val="003B45DE"/>
    <w:rsid w:val="003C08D2"/>
    <w:rsid w:val="003E0610"/>
    <w:rsid w:val="004140E7"/>
    <w:rsid w:val="00425730"/>
    <w:rsid w:val="0045377C"/>
    <w:rsid w:val="00481ABB"/>
    <w:rsid w:val="004A6024"/>
    <w:rsid w:val="004B3903"/>
    <w:rsid w:val="004D03DB"/>
    <w:rsid w:val="005166C6"/>
    <w:rsid w:val="00556F3F"/>
    <w:rsid w:val="00585D9A"/>
    <w:rsid w:val="005E3411"/>
    <w:rsid w:val="005F0BCB"/>
    <w:rsid w:val="005F159E"/>
    <w:rsid w:val="005F78CF"/>
    <w:rsid w:val="00633C92"/>
    <w:rsid w:val="006C29C8"/>
    <w:rsid w:val="006E4EB5"/>
    <w:rsid w:val="00710A65"/>
    <w:rsid w:val="00716678"/>
    <w:rsid w:val="007C1075"/>
    <w:rsid w:val="007C3788"/>
    <w:rsid w:val="008841C0"/>
    <w:rsid w:val="008B5940"/>
    <w:rsid w:val="008E3105"/>
    <w:rsid w:val="008F0868"/>
    <w:rsid w:val="00910A1E"/>
    <w:rsid w:val="00914248"/>
    <w:rsid w:val="00930F67"/>
    <w:rsid w:val="00947075"/>
    <w:rsid w:val="009A6D75"/>
    <w:rsid w:val="009B5433"/>
    <w:rsid w:val="00A44674"/>
    <w:rsid w:val="00A94C7E"/>
    <w:rsid w:val="00AE42DF"/>
    <w:rsid w:val="00B169AE"/>
    <w:rsid w:val="00B367F9"/>
    <w:rsid w:val="00B876BD"/>
    <w:rsid w:val="00BC5178"/>
    <w:rsid w:val="00BF32B0"/>
    <w:rsid w:val="00C03AAC"/>
    <w:rsid w:val="00C16194"/>
    <w:rsid w:val="00CD322C"/>
    <w:rsid w:val="00D11255"/>
    <w:rsid w:val="00D3142A"/>
    <w:rsid w:val="00D56465"/>
    <w:rsid w:val="00D65B7D"/>
    <w:rsid w:val="00D94F46"/>
    <w:rsid w:val="00DA7849"/>
    <w:rsid w:val="00DB355A"/>
    <w:rsid w:val="00DB62FF"/>
    <w:rsid w:val="00E0466A"/>
    <w:rsid w:val="00ED5648"/>
    <w:rsid w:val="00EE2FF3"/>
    <w:rsid w:val="00EF0655"/>
    <w:rsid w:val="00FA0A95"/>
    <w:rsid w:val="00FB47F8"/>
    <w:rsid w:val="00FC1AA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37D5"/>
  <w15:chartTrackingRefBased/>
  <w15:docId w15:val="{BB58519D-E63E-4ECA-A324-5D5CF358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0E7"/>
  </w:style>
  <w:style w:type="paragraph" w:styleId="Footer">
    <w:name w:val="footer"/>
    <w:basedOn w:val="Normal"/>
    <w:link w:val="FooterChar"/>
    <w:uiPriority w:val="99"/>
    <w:unhideWhenUsed/>
    <w:rsid w:val="00414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6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1665</Words>
  <Characters>9492</Characters>
  <Application>Microsoft Office Word</Application>
  <DocSecurity>0</DocSecurity>
  <Lines>79</Lines>
  <Paragraphs>22</Paragraphs>
  <ScaleCrop>false</ScaleCrop>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Augustine mugambi</cp:lastModifiedBy>
  <cp:revision>2</cp:revision>
  <dcterms:created xsi:type="dcterms:W3CDTF">2025-02-19T06:07:00Z</dcterms:created>
  <dcterms:modified xsi:type="dcterms:W3CDTF">2025-02-19T06:07:00Z</dcterms:modified>
</cp:coreProperties>
</file>